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A90" w:rsidP="2605C40F" w:rsidRDefault="00B20845" w14:paraId="46EFB7FB" w14:textId="625C1EBE">
      <w:pPr>
        <w:pStyle w:val="Normalny"/>
        <w:keepNext/>
        <w:jc w:val="center"/>
        <w:rPr>
          <w:rFonts w:ascii="Arial" w:hAnsi="Arial" w:cs="Arial"/>
          <w:b w:val="1"/>
          <w:bCs w:val="1"/>
        </w:rPr>
      </w:pPr>
      <w:r w:rsidRPr="2605C40F" w:rsidR="00B20845">
        <w:rPr>
          <w:rFonts w:ascii="Arial" w:hAnsi="Arial" w:cs="Arial"/>
          <w:b w:val="1"/>
          <w:bCs w:val="1"/>
        </w:rPr>
        <w:t xml:space="preserve">KARTA KURSU </w:t>
      </w:r>
    </w:p>
    <w:p w:rsidR="007C4A90" w:rsidRDefault="00B20845" w14:paraId="6035C5F9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Cs w:val="28"/>
        </w:rPr>
        <w:t>(realizowanego w specjalności)</w:t>
      </w:r>
    </w:p>
    <w:p w:rsidR="007C4A90" w:rsidRDefault="007C4A90" w14:paraId="02EB378F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7C4A90" w:rsidRDefault="007C4A90" w14:paraId="6A05A809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7C4A90" w:rsidRDefault="00B20845" w14:paraId="7509A786" w14:textId="77777777">
      <w:pPr>
        <w:spacing w:line="259" w:lineRule="auto"/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</w:rPr>
        <w:t>Nauczycielska</w:t>
      </w:r>
    </w:p>
    <w:p w:rsidR="007C4A90" w:rsidRDefault="00B20845" w14:paraId="1DD52162" w14:textId="77777777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C4A90" w:rsidRDefault="007C4A90" w14:paraId="5A39BBE3" w14:textId="77777777">
      <w:pPr>
        <w:jc w:val="center"/>
        <w:rPr>
          <w:rFonts w:ascii="Arial" w:hAnsi="Arial" w:cs="Arial"/>
          <w:sz w:val="22"/>
          <w:szCs w:val="14"/>
        </w:rPr>
      </w:pPr>
    </w:p>
    <w:p w:rsidR="007C4A90" w:rsidRDefault="007C4A90" w14:paraId="41C8F396" w14:textId="77777777">
      <w:pPr>
        <w:jc w:val="center"/>
        <w:rPr>
          <w:rFonts w:ascii="Arial" w:hAnsi="Arial" w:cs="Arial"/>
          <w:sz w:val="22"/>
          <w:szCs w:val="14"/>
        </w:rPr>
      </w:pPr>
    </w:p>
    <w:p w:rsidR="007C4A90" w:rsidRDefault="007C4A90" w14:paraId="72A3D3EC" w14:textId="77777777">
      <w:pPr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58"/>
      </w:tblGrid>
      <w:tr w:rsidR="007C4A90" w14:paraId="7EFA2133" w14:textId="77777777">
        <w:trPr>
          <w:trHeight w:val="395"/>
        </w:trPr>
        <w:tc>
          <w:tcPr>
            <w:tcW w:w="19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5480EF1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7C4A90" w:rsidRDefault="00B20845" w14:paraId="3D7DF97F" w14:textId="0B74B50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Dydaktyka języka hiszpańskiego I</w:t>
            </w:r>
            <w:r w:rsidR="00614DEA">
              <w:rPr>
                <w:rFonts w:ascii="Arial" w:hAnsi="Arial"/>
                <w:sz w:val="20"/>
                <w:szCs w:val="20"/>
              </w:rPr>
              <w:t>I</w:t>
            </w:r>
          </w:p>
        </w:tc>
      </w:tr>
      <w:tr w:rsidRPr="00941486" w:rsidR="007C4A90" w14:paraId="235184AD" w14:textId="77777777">
        <w:trPr>
          <w:trHeight w:val="379"/>
        </w:trPr>
        <w:tc>
          <w:tcPr>
            <w:tcW w:w="19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1595C287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7C4A90" w:rsidRDefault="00B20845" w14:paraId="6052FCEF" w14:textId="1750FCA0">
            <w:pPr>
              <w:rPr>
                <w:rFonts w:ascii="Arial" w:hAnsi="Arial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Teaching Spanish as a Foreign Language I</w:t>
            </w:r>
            <w:r w:rsidR="00614DEA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I</w:t>
            </w:r>
          </w:p>
        </w:tc>
      </w:tr>
    </w:tbl>
    <w:p w:rsidR="007C4A90" w:rsidRDefault="007C4A90" w14:paraId="0D0B940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7C4A90" w:rsidRDefault="007C4A90" w14:paraId="0E27B00A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0"/>
        <w:gridCol w:w="3264"/>
      </w:tblGrid>
      <w:tr w:rsidR="007C4A90" w:rsidTr="04E0A10A" w14:paraId="5D7DF533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4A90" w:rsidRDefault="00B20845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B20845" w14:paraId="662B5190" w14:textId="06BAC9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4E0A10A" w:rsidR="3E1D5A4F">
              <w:rPr>
                <w:rFonts w:ascii="Arial" w:hAnsi="Arial" w:cs="Arial"/>
                <w:sz w:val="20"/>
                <w:szCs w:val="20"/>
              </w:rPr>
              <w:t>dr Weronika Urbanik-Pęk</w:t>
            </w:r>
          </w:p>
        </w:tc>
        <w:tc>
          <w:tcPr>
            <w:tcW w:w="326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4A90" w:rsidRDefault="00B20845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4A90" w:rsidTr="04E0A10A" w14:paraId="0E5A5342" w14:textId="77777777">
        <w:trPr>
          <w:cantSplit/>
          <w:trHeight w:val="344"/>
        </w:trPr>
        <w:tc>
          <w:tcPr>
            <w:tcW w:w="3186" w:type="dxa"/>
            <w:vMerge/>
            <w:tcBorders/>
            <w:tcMar/>
            <w:vAlign w:val="center"/>
          </w:tcPr>
          <w:p w:rsidR="007C4A90" w:rsidRDefault="007C4A90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7C4A90" w:rsidRDefault="007C4A90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4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P="2605C40F" w:rsidRDefault="007C4A90" w14:paraId="2883A8FA" w14:textId="4597B2FA">
            <w:pPr>
              <w:widowControl w:val="1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2605C40F" w:rsidR="434DBC3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7C4A90" w:rsidP="04E0A10A" w:rsidRDefault="007C4A90" w14:paraId="54A55D16" w14:textId="67AEF8DC">
            <w:pPr>
              <w:widowControl w:val="1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04E0A10A" w:rsidR="434DBC3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5287186F" w:rsidP="04E0A10A" w:rsidRDefault="5287186F" w14:paraId="5C9AB7EC" w14:textId="068E11FA">
            <w:pPr>
              <w:widowControl w:val="1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4E0A10A" w:rsidR="5287186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Weronika Urbanik-Pęk</w:t>
            </w:r>
          </w:p>
          <w:p w:rsidR="007C4A90" w:rsidP="2605C40F" w:rsidRDefault="007C4A90" w14:paraId="4B94D5A5" w14:textId="68397154">
            <w:pPr>
              <w:widowControl w:val="1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2605C40F" w:rsidR="434DBC3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mgr Małgorzata </w:t>
            </w:r>
            <w:r w:rsidRPr="2605C40F" w:rsidR="434DBC3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Wiertelak</w:t>
            </w:r>
          </w:p>
        </w:tc>
      </w:tr>
      <w:tr w:rsidR="007C4A90" w:rsidTr="04E0A10A" w14:paraId="3DEEC669" w14:textId="77777777">
        <w:trPr>
          <w:cantSplit/>
          <w:trHeight w:val="57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7C4A90" w14:paraId="3656B9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7C4A90" w14:paraId="45FB08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4" w:type="dxa"/>
            <w:vMerge/>
            <w:tcBorders/>
            <w:tcMar/>
            <w:vAlign w:val="center"/>
          </w:tcPr>
          <w:p w:rsidR="007C4A90" w:rsidRDefault="007C4A90" w14:paraId="049F31C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A90" w:rsidTr="04E0A10A" w14:paraId="63F49C13" w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4A90" w:rsidRDefault="00B20845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B20845" w14:paraId="75697EEC" w14:textId="2853A0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05C40F" w:rsidR="628554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4" w:type="dxa"/>
            <w:vMerge/>
            <w:tcBorders/>
            <w:tcMar/>
            <w:vAlign w:val="center"/>
          </w:tcPr>
          <w:p w:rsidR="007C4A90" w:rsidRDefault="007C4A90" w14:paraId="5312826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4A90" w:rsidRDefault="007C4A90" w14:paraId="62486C05" w14:textId="77777777">
      <w:pPr>
        <w:rPr>
          <w:rFonts w:ascii="Arial" w:hAnsi="Arial" w:cs="Arial"/>
          <w:sz w:val="22"/>
          <w:szCs w:val="16"/>
          <w:lang w:val="es-ES"/>
        </w:rPr>
      </w:pPr>
    </w:p>
    <w:p w:rsidR="007C4A90" w:rsidRDefault="007C4A90" w14:paraId="4101652C" w14:textId="77777777">
      <w:pPr>
        <w:rPr>
          <w:rFonts w:ascii="Arial" w:hAnsi="Arial" w:cs="Arial"/>
          <w:b/>
          <w:bCs/>
          <w:sz w:val="22"/>
          <w:szCs w:val="16"/>
        </w:rPr>
      </w:pPr>
    </w:p>
    <w:p w:rsidR="007C4A90" w:rsidRDefault="00B20845" w14:paraId="3188016C" w14:textId="77777777">
      <w:pPr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t>Opis kursu (cele kształcenia)</w:t>
      </w:r>
    </w:p>
    <w:p w:rsidR="007C4A90" w:rsidRDefault="007C4A90" w14:paraId="4B99056E" w14:textId="77777777">
      <w:pPr>
        <w:rPr>
          <w:rFonts w:ascii="Arial" w:hAnsi="Arial" w:cs="Arial"/>
          <w:sz w:val="22"/>
          <w:szCs w:val="16"/>
        </w:rPr>
      </w:pPr>
    </w:p>
    <w:p w:rsidR="007C4A90" w:rsidRDefault="007C4A90" w14:paraId="1299C43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C4A90" w14:paraId="4B3B83E3" w14:textId="77777777">
        <w:trPr>
          <w:trHeight w:val="1365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620DA" w:rsidRDefault="00B20845" w14:paraId="5A9B5B66" w14:textId="42863640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Kurs ma na celu </w:t>
            </w:r>
            <w:r w:rsidR="008620DA">
              <w:rPr>
                <w:rFonts w:ascii="Arial" w:hAnsi="Arial" w:eastAsia="Arial" w:cs="Arial"/>
                <w:sz w:val="20"/>
                <w:szCs w:val="20"/>
              </w:rPr>
              <w:t>zaznajomienie studentów z historią dydaktyki języków obcych.</w:t>
            </w:r>
          </w:p>
          <w:p w:rsidR="008620DA" w:rsidRDefault="008620DA" w14:paraId="2F6ABA59" w14:textId="7FE13DDA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 czasie całego kursu (45h) omawiane będą różne metody nauczania, które pojawiły się i były wykorzystywane w dydaktyce na przestrzeni lat.</w:t>
            </w:r>
          </w:p>
          <w:p w:rsidR="008620DA" w:rsidRDefault="008620DA" w14:paraId="7F0ED478" w14:textId="04F2A1B8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Student zapozna się z głównymi założeniami każdej z metod, pozna ich głównych przedstawicieli i sposoby zastosowania tych metod w praktyce. </w:t>
            </w:r>
          </w:p>
          <w:p w:rsidR="008620DA" w:rsidRDefault="008620DA" w14:paraId="6B32C62A" w14:textId="6F4AEFAE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Uzupełnieniem teoretycznej części </w:t>
            </w:r>
            <w:r w:rsidR="00723CF2">
              <w:rPr>
                <w:rFonts w:ascii="Arial" w:hAnsi="Arial" w:eastAsia="Arial" w:cs="Arial"/>
                <w:sz w:val="20"/>
                <w:szCs w:val="20"/>
              </w:rPr>
              <w:t>zajęć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będzie praktyczna analiza omawianej metody, </w:t>
            </w:r>
            <w:r w:rsidR="00723CF2">
              <w:rPr>
                <w:rFonts w:ascii="Arial" w:hAnsi="Arial" w:eastAsia="Arial" w:cs="Arial"/>
                <w:sz w:val="20"/>
                <w:szCs w:val="20"/>
              </w:rPr>
              <w:t xml:space="preserve">podkreślenie jej mocnych i słabych stron, zaproponowanie praktycznych ćwiczeń przy wykorzystaniu konkretnej metodologii. </w:t>
            </w:r>
          </w:p>
          <w:p w:rsidR="007C4A90" w:rsidRDefault="00723CF2" w14:paraId="09EA58C2" w14:textId="77777777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mają na celu wzbogacić wiedzę studenta w zakresie dydaktyki języków obcych, pokazać mu wachlarz możliwości dydaktycznych. </w:t>
            </w:r>
          </w:p>
          <w:p w:rsidR="00723CF2" w:rsidRDefault="00723CF2" w14:paraId="42CCDAC0" w14:textId="5CCCF23E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Ich celem jest również pomoc w doborze najlepszej metody nauczania do prowadzonej przez studenta (przyszłego nauczyciela) grupy uczniów, dopasowanie zestawu ćwiczeń, sposobu prowadzenia zajęć, itp.</w:t>
            </w:r>
          </w:p>
        </w:tc>
      </w:tr>
    </w:tbl>
    <w:p w:rsidR="007C4A90" w:rsidRDefault="007C4A90" w14:paraId="4DDBEF00" w14:textId="77777777">
      <w:pPr>
        <w:rPr>
          <w:rFonts w:ascii="Arial" w:hAnsi="Arial" w:cs="Arial"/>
          <w:sz w:val="22"/>
          <w:szCs w:val="16"/>
        </w:rPr>
      </w:pPr>
    </w:p>
    <w:p w:rsidR="006C1279" w:rsidP="006C1279" w:rsidRDefault="00B20845" w14:paraId="58CBC551" w14:textId="77777777">
      <w:pPr>
        <w:pStyle w:val="LO-normal"/>
        <w:rPr>
          <w:rFonts w:ascii="Arial" w:hAnsi="Arial"/>
        </w:rPr>
      </w:pPr>
      <w:r>
        <w:br w:type="page"/>
      </w:r>
      <w:r w:rsidR="006C1279">
        <w:rPr>
          <w:rFonts w:ascii="Arial" w:hAnsi="Arial" w:eastAsia="Arial" w:cs="Arial"/>
          <w:sz w:val="22"/>
          <w:szCs w:val="22"/>
        </w:rPr>
        <w:t>Warunki wstępne</w:t>
      </w:r>
    </w:p>
    <w:p w:rsidR="006C1279" w:rsidP="006C1279" w:rsidRDefault="006C1279" w14:paraId="1C5D8D8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6C1279" w:rsidTr="00902E69" w14:paraId="76ABFCE4" w14:textId="77777777">
        <w:trPr>
          <w:trHeight w:val="550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6C1279" w:rsidP="00902E69" w:rsidRDefault="006C1279" w14:paraId="4C0AD9AB" w14:textId="77777777">
            <w:pPr>
              <w:pStyle w:val="LO-normal"/>
              <w:jc w:val="center"/>
              <w:rPr>
                <w:rFonts w:ascii="Arial" w:hAnsi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6C1279" w:rsidP="00902E69" w:rsidRDefault="009D093C" w14:paraId="574D515B" w14:textId="2F51C5D9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Student posiada podstawową wiedzę na temat dydaktyki języków obcych, wie co to jest „metoda nauczania”</w:t>
            </w:r>
            <w:r w:rsidR="00457FC2">
              <w:rPr>
                <w:rFonts w:ascii="Arial" w:hAnsi="Arial" w:eastAsia="Arial" w:cs="Arial"/>
                <w:color w:val="000000"/>
                <w:sz w:val="22"/>
                <w:szCs w:val="22"/>
              </w:rPr>
              <w:t>, rozróżnia zróżnicowane sposoby nauczania i uczenia się.</w:t>
            </w:r>
          </w:p>
          <w:p w:rsidR="006C1279" w:rsidP="006C1279" w:rsidRDefault="006C1279" w14:paraId="752A6685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6C1279" w:rsidTr="00902E69" w14:paraId="5CB806F1" w14:textId="77777777">
        <w:trPr>
          <w:trHeight w:val="577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6C1279" w:rsidP="00902E69" w:rsidRDefault="006C1279" w14:paraId="3F11AB58" w14:textId="77777777">
            <w:pPr>
              <w:pStyle w:val="LO-normal"/>
              <w:jc w:val="center"/>
              <w:rPr>
                <w:rFonts w:ascii="Arial" w:hAnsi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6C1279" w:rsidP="006C1279" w:rsidRDefault="00457FC2" w14:paraId="0FE19905" w14:textId="2EE3D84D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Studen</w:t>
            </w:r>
            <w:r w:rsidR="000F78C2">
              <w:rPr>
                <w:rFonts w:ascii="Arial" w:hAnsi="Arial" w:eastAsia="Arial" w:cs="Arial"/>
                <w:color w:val="000000"/>
                <w:sz w:val="22"/>
                <w:szCs w:val="22"/>
              </w:rPr>
              <w:t>t potrafi rozróżnić rodzaj ćwiczeń służących do doskonalenia poszczególnych sprawności językowych. Potrafi skonstruować podstawowe ćwiczenia rozwijające różne umiejętności w procesie uczenia się języka obcego.</w:t>
            </w:r>
          </w:p>
        </w:tc>
      </w:tr>
      <w:tr w:rsidR="006C1279" w:rsidTr="00902E69" w14:paraId="0AB3596B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6C1279" w:rsidP="00902E69" w:rsidRDefault="006C1279" w14:paraId="1AEF3940" w14:textId="77777777">
            <w:pPr>
              <w:pStyle w:val="LO-normal"/>
              <w:jc w:val="center"/>
              <w:rPr>
                <w:rFonts w:ascii="Arial" w:hAnsi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6C1279" w:rsidP="00902E69" w:rsidRDefault="006C1279" w14:paraId="6673FCBA" w14:textId="71F6C2E3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Dydaktyka języka hiszpańskiego I </w:t>
            </w:r>
          </w:p>
        </w:tc>
      </w:tr>
    </w:tbl>
    <w:p w:rsidR="007C4A90" w:rsidRDefault="007C4A90" w14:paraId="3461D779" w14:textId="1D7A1C4A">
      <w:pPr>
        <w:widowControl/>
        <w:rPr>
          <w:rFonts w:ascii="Arial" w:hAnsi="Arial" w:cs="Arial"/>
          <w:b/>
          <w:bCs/>
          <w:sz w:val="22"/>
          <w:szCs w:val="16"/>
        </w:rPr>
      </w:pPr>
    </w:p>
    <w:p w:rsidR="007C4A90" w:rsidRDefault="00B20845" w14:paraId="44A509E2" w14:textId="77777777">
      <w:pPr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t>Efekty uczenia się</w:t>
      </w:r>
    </w:p>
    <w:p w:rsidR="007C4A90" w:rsidRDefault="007C4A90" w14:paraId="3CF2D8B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C4A90" w14:paraId="01356D2C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70A42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7EB703A9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C4A90" w:rsidRDefault="00B20845" w14:paraId="664579B8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7C4A90" w14:paraId="41DB2BCD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7C4A90" w14:paraId="0FB7827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48658B6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7C4A90" w:rsidRDefault="00B20845" w14:paraId="29624CC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filologii hiszpańskiej, którą jest w stanie rozwijać i twórczo stosować w działalności profesjonalnej.</w:t>
            </w:r>
          </w:p>
          <w:p w:rsidR="007C4A90" w:rsidRDefault="00B20845" w14:paraId="1E475A1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007C4A90" w:rsidRDefault="00B20845" w14:paraId="7B786C9B" w14:textId="30D1FC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na poziomie rozszerzonym terminologię i teorię z zakresu filologii</w:t>
            </w:r>
            <w:r w:rsidR="009C722D">
              <w:rPr>
                <w:rFonts w:ascii="Arial" w:hAnsi="Arial" w:cs="Arial"/>
                <w:sz w:val="20"/>
                <w:szCs w:val="20"/>
              </w:rPr>
              <w:t xml:space="preserve"> i dydaktyki.</w:t>
            </w:r>
          </w:p>
          <w:p w:rsidR="007C4A90" w:rsidRDefault="00B20845" w14:paraId="05735E1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7C4A90" w:rsidRDefault="00B20845" w14:paraId="6DF91EA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 pogłębioną wiedzę o kompleksowej naturze języka ojczystego i języków obcych oraz ich historycznej zmienności.</w:t>
            </w:r>
          </w:p>
          <w:p w:rsidR="007C4A90" w:rsidRDefault="00B20845" w14:paraId="79E6EE8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</w:t>
            </w:r>
          </w:p>
          <w:p w:rsidR="007C4A90" w:rsidRDefault="00B20845" w14:paraId="38625D4D" w14:textId="1A2784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723CF2">
              <w:rPr>
                <w:rFonts w:ascii="Arial" w:hAnsi="Arial" w:cs="Arial"/>
                <w:sz w:val="20"/>
                <w:szCs w:val="20"/>
              </w:rPr>
              <w:t xml:space="preserve">historię dydaktyki języków obcych i potrafi czerpać z niej pomysły na urozmaicenie swoich zajęć. </w:t>
            </w:r>
          </w:p>
          <w:p w:rsidR="007C4A90" w:rsidRDefault="00B20845" w14:paraId="5542C0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</w:t>
            </w:r>
          </w:p>
          <w:p w:rsidR="007C4A90" w:rsidRDefault="00723CF2" w14:paraId="7C297F2F" w14:textId="39EFA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9C722D">
              <w:rPr>
                <w:rFonts w:ascii="Arial" w:hAnsi="Arial" w:cs="Arial"/>
                <w:sz w:val="20"/>
                <w:szCs w:val="20"/>
              </w:rPr>
              <w:t>dobrać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 sposób nauczania do prowadzonej przez siebie grupy, </w:t>
            </w:r>
            <w:r w:rsidR="009C722D">
              <w:rPr>
                <w:rFonts w:ascii="Arial" w:hAnsi="Arial" w:cs="Arial"/>
                <w:sz w:val="20"/>
                <w:szCs w:val="20"/>
              </w:rPr>
              <w:t>odpowiednio konstruować ćwiczenia</w:t>
            </w:r>
            <w:r w:rsidR="00B208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9D093C" w14:paraId="25FAD780" w14:textId="08BEC6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C.W1</w:t>
            </w:r>
          </w:p>
          <w:p w:rsidR="007C4A90" w:rsidRDefault="007C4A90" w14:paraId="1FC399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9D093C" w14:paraId="1863F67F" w14:textId="2701A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C.W3</w:t>
            </w:r>
          </w:p>
          <w:p w:rsidR="007C4A90" w:rsidRDefault="007C4A9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9D093C" w14:paraId="5997CC1D" w14:textId="7EC4B4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C.W7</w:t>
            </w:r>
          </w:p>
          <w:p w:rsidR="007C4A90" w:rsidRDefault="007C4A90" w14:paraId="5951D8B6" w14:textId="1965E015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9D093C" w14:paraId="1FDB636B" w14:textId="186916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C.W3</w:t>
            </w:r>
          </w:p>
          <w:p w:rsidR="007C4A90" w:rsidRDefault="007C4A90" w14:paraId="1F72F64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D093C" w:rsidRDefault="009D093C" w14:paraId="1D8CD9B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9D093C" w14:paraId="30AB4AED" w14:textId="127E97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C.W5</w:t>
            </w:r>
          </w:p>
          <w:p w:rsidR="007C4A90" w:rsidRDefault="007C4A90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4A90" w:rsidRDefault="007C4A90" w14:paraId="738610EB" w14:textId="77777777">
      <w:pPr>
        <w:rPr>
          <w:rFonts w:ascii="Arial" w:hAnsi="Arial" w:cs="Arial"/>
          <w:sz w:val="22"/>
          <w:szCs w:val="16"/>
        </w:rPr>
      </w:pPr>
    </w:p>
    <w:p w:rsidR="007C4A90" w:rsidRDefault="00B20845" w14:paraId="637805D2" w14:textId="77777777">
      <w:pPr>
        <w:widowControl/>
        <w:rPr>
          <w:rFonts w:ascii="Arial" w:hAnsi="Arial" w:cs="Arial"/>
          <w:sz w:val="22"/>
          <w:szCs w:val="16"/>
        </w:rPr>
      </w:pPr>
      <w:r>
        <w:br w:type="page"/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7C4A90" w14:paraId="16367538" w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1A0AA4D1" w14:textId="77777777">
            <w:pPr>
              <w:pageBreakBefor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2C87E12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C4A90" w:rsidRDefault="00B20845" w14:paraId="5434095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7C4A90" w14:paraId="3B45395C" w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7C4A90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6AA36D2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7C4A90" w:rsidRDefault="00B20845" w14:paraId="4749B6B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posługuje się językiem hiszpańskim na poziomie C1+ oraz drugim językiem obcym na poziomie B2+, zgodne z wymaganiami określonymi przez Europejski System Opisu Kształcenia Językowego.</w:t>
            </w:r>
          </w:p>
          <w:p w:rsidR="007C4A90" w:rsidRDefault="00B20845" w14:paraId="072F28B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7C4A90" w:rsidRDefault="00B20845" w14:paraId="2E0A20C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inspirować i organizować proces uczenia się innych osób.</w:t>
            </w:r>
          </w:p>
          <w:p w:rsidR="007C4A90" w:rsidRDefault="00B20845" w14:paraId="1D567F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7C4A90" w:rsidRDefault="00B20845" w14:paraId="1DC4BA2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zawodową.</w:t>
            </w:r>
          </w:p>
          <w:p w:rsidR="007C4A90" w:rsidRDefault="00B20845" w14:paraId="40AFFD9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7C4A90" w:rsidRDefault="00B20845" w14:paraId="16E73DD9" w14:textId="0984CC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 </w:t>
            </w:r>
            <w:r w:rsidR="003A21BB">
              <w:rPr>
                <w:rFonts w:ascii="Arial" w:hAnsi="Arial" w:cs="Arial"/>
                <w:sz w:val="20"/>
                <w:szCs w:val="20"/>
              </w:rPr>
              <w:t>wybrać najodpowiedniejszą dla grupy metodę nauczania, dopasować ją do uczestników kursu i urozmaicać swoimi pomysłami</w:t>
            </w:r>
          </w:p>
          <w:p w:rsidR="007C4A90" w:rsidRDefault="00B20845" w14:paraId="44A931D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  <w:p w:rsidR="007C4A90" w:rsidRDefault="00B20845" w14:paraId="736A88B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 formułować oceny etyczne związane z wykonywaniem zawodu nauczyciela języka hiszpańskiego.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9D093C" w14:paraId="14ACAEEC" w14:textId="268AFC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C.U8</w:t>
            </w:r>
          </w:p>
          <w:p w:rsidR="007C4A90" w:rsidRDefault="007C4A90" w14:paraId="3B7B4B8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3A0FF5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5630AD6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182907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9D093C" w14:paraId="04718E86" w14:textId="53647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C.U1</w:t>
            </w:r>
          </w:p>
          <w:p w:rsidR="007C4A90" w:rsidRDefault="007C4A90" w14:paraId="2BA226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17AD93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9D093C" w14:paraId="107D4F34" w14:textId="5290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C.U4</w:t>
            </w:r>
          </w:p>
          <w:p w:rsidR="007C4A90" w:rsidRDefault="007C4A90" w14:paraId="0DE4B5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6204FF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B6A" w:rsidRDefault="002E4B6A" w14:paraId="3D99BE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B6A" w:rsidRDefault="002E4B6A" w14:paraId="36ECEA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B6A" w:rsidRDefault="002E4B6A" w14:paraId="17AA0644" w14:textId="1D13D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C.U3</w:t>
            </w:r>
          </w:p>
          <w:p w:rsidR="002E4B6A" w:rsidRDefault="002E4B6A" w14:paraId="6C68A90C" w14:textId="062A1265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B6A" w:rsidRDefault="002E4B6A" w14:paraId="0DD3A9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B6A" w:rsidRDefault="002E4B6A" w14:paraId="03479D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B6A" w:rsidRDefault="002E4B6A" w14:paraId="171068DD" w14:textId="6D7571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C.U6</w:t>
            </w:r>
          </w:p>
          <w:p w:rsidR="007C4A90" w:rsidRDefault="007C4A90" w14:paraId="296FEF7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7194DB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4A90" w:rsidRDefault="007C4A90" w14:paraId="769D0D3C" w14:textId="77777777">
      <w:pPr>
        <w:rPr>
          <w:rFonts w:ascii="Arial" w:hAnsi="Arial" w:cs="Arial"/>
          <w:sz w:val="22"/>
          <w:szCs w:val="16"/>
        </w:rPr>
      </w:pPr>
    </w:p>
    <w:p w:rsidR="007C4A90" w:rsidRDefault="007C4A90" w14:paraId="54CD245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7C4A90" w14:paraId="0023D940" w14:textId="77777777">
        <w:trPr>
          <w:cantSplit/>
          <w:trHeight w:val="800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F8C2349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C4A90" w:rsidRDefault="00B20845" w14:paraId="455A985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7C4A90" w14:paraId="7DA4F417" w14:textId="77777777">
        <w:trPr>
          <w:cantSplit/>
          <w:trHeight w:val="1321"/>
        </w:trPr>
        <w:tc>
          <w:tcPr>
            <w:tcW w:w="1982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7C4A90" w14:paraId="1231BE6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2B5AAE7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7C4A90" w:rsidRDefault="00B20845" w14:paraId="7E150E8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zawodu.</w:t>
            </w:r>
          </w:p>
          <w:p w:rsidR="007C4A90" w:rsidRDefault="00B20845" w14:paraId="1850DF5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7C4A90" w:rsidRDefault="00B20845" w14:paraId="64DF5F9E" w14:textId="69D663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</w:t>
            </w:r>
            <w:r w:rsidR="002E4B6A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2E4B6A">
              <w:rPr>
                <w:rFonts w:ascii="Arial" w:hAnsi="Arial" w:cs="Arial"/>
                <w:sz w:val="20"/>
                <w:szCs w:val="20"/>
              </w:rPr>
              <w:t>pogłębia</w:t>
            </w:r>
            <w:r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 w:rsidR="002E4B6A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 pedagogiczn</w:t>
            </w:r>
            <w:r w:rsidR="002E4B6A"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2E4B6A" w14:paraId="623FD81C" w14:textId="27088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C.K2</w:t>
            </w:r>
          </w:p>
          <w:p w:rsidR="007C4A90" w:rsidRDefault="007C4A90" w14:paraId="36FEB5B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30D7AA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B6A" w:rsidRDefault="002E4B6A" w14:paraId="3205BD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2E4B6A" w14:paraId="3A4F4D57" w14:textId="02CDF3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C.K1</w:t>
            </w:r>
          </w:p>
          <w:p w:rsidR="007C4A90" w:rsidRDefault="007C4A9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4A90" w:rsidRDefault="007C4A90" w14:paraId="34FF1C98" w14:textId="77777777">
      <w:pPr>
        <w:rPr>
          <w:rFonts w:ascii="Arial" w:hAnsi="Arial" w:cs="Arial"/>
          <w:sz w:val="22"/>
          <w:szCs w:val="16"/>
        </w:rPr>
      </w:pPr>
    </w:p>
    <w:p w:rsidR="007C4A90" w:rsidRDefault="007C4A90" w14:paraId="6D072C0D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0"/>
        <w:gridCol w:w="1228"/>
        <w:gridCol w:w="850"/>
        <w:gridCol w:w="272"/>
        <w:gridCol w:w="861"/>
        <w:gridCol w:w="316"/>
        <w:gridCol w:w="817"/>
        <w:gridCol w:w="286"/>
        <w:gridCol w:w="850"/>
        <w:gridCol w:w="282"/>
        <w:gridCol w:w="850"/>
        <w:gridCol w:w="287"/>
        <w:gridCol w:w="847"/>
        <w:gridCol w:w="284"/>
      </w:tblGrid>
      <w:tr w:rsidR="007C4A90" w14:paraId="68A6B712" w14:textId="77777777">
        <w:trPr>
          <w:cantSplit/>
          <w:trHeight w:val="424" w:hRule="exact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C4A90" w14:paraId="4B150495" w14:textId="77777777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C4A90" w:rsidRDefault="00B20845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2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B20845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C4A90" w14:paraId="53F2F122" w14:textId="77777777">
        <w:trPr>
          <w:cantSplit/>
          <w:trHeight w:val="477"/>
        </w:trPr>
        <w:tc>
          <w:tcPr>
            <w:tcW w:w="1609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B20845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23860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0F3CAB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5B08B5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16DE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0AD9C6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4B1F51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A90" w14:paraId="1258C211" w14:textId="77777777">
        <w:trPr>
          <w:trHeight w:val="499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65F9C3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7C4A90" w14:paraId="5023141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614DEA" w14:paraId="174B1212" w14:textId="4FB91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1F3B14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562C75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664355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w:rsidR="007C4A90" w:rsidRDefault="007C4A9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7C4A90" w:rsidRDefault="007C4A90" w14:paraId="7DF4E37C" w14:textId="77777777">
      <w:pPr>
        <w:rPr>
          <w:rFonts w:ascii="Arial" w:hAnsi="Arial" w:cs="Arial"/>
          <w:b/>
          <w:bCs/>
          <w:sz w:val="22"/>
          <w:szCs w:val="14"/>
        </w:rPr>
      </w:pPr>
    </w:p>
    <w:p w:rsidR="007C4A90" w:rsidRDefault="00B20845" w14:paraId="2FEAC4CC" w14:textId="77777777">
      <w:pPr>
        <w:rPr>
          <w:rFonts w:ascii="Arial" w:hAnsi="Arial" w:cs="Arial"/>
          <w:b/>
          <w:bCs/>
          <w:sz w:val="22"/>
          <w:szCs w:val="14"/>
        </w:rPr>
      </w:pPr>
      <w:r>
        <w:rPr>
          <w:rFonts w:ascii="Arial" w:hAnsi="Arial" w:cs="Arial"/>
          <w:b/>
          <w:bCs/>
          <w:sz w:val="22"/>
          <w:szCs w:val="14"/>
        </w:rPr>
        <w:t>Opis metod prowadzenia zajęć</w:t>
      </w:r>
    </w:p>
    <w:p w:rsidR="007C4A90" w:rsidRDefault="007C4A90" w14:paraId="44FB30F8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4A90" w14:paraId="2486304E" w14:textId="77777777">
        <w:trPr>
          <w:trHeight w:val="76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58248A3A" w14:textId="49BD123A">
            <w:pPr>
              <w:jc w:val="both"/>
              <w:rPr>
                <w:sz w:val="26"/>
                <w:szCs w:val="26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Elementy wykładu konwersatoryjnego, ćwiczenia w trakcie zajęć, c</w:t>
            </w:r>
            <w:r>
              <w:rPr>
                <w:rFonts w:ascii="Arial" w:hAnsi="Arial" w:cs="Arial"/>
                <w:sz w:val="20"/>
                <w:szCs w:val="20"/>
              </w:rPr>
              <w:t>zytanie i analiza tekstów samodzielnie i pod kierunkiem prowadzących zajęcia,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praca indywidualna, praca grupowa, projekty i prezentacje, autokorekta i korekta grupowa, praca na platformach do nauczania zdalnego.</w:t>
            </w:r>
          </w:p>
        </w:tc>
      </w:tr>
    </w:tbl>
    <w:p w:rsidR="007C4A90" w:rsidRDefault="007C4A90" w14:paraId="1DA6542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7C4A90" w:rsidRDefault="00B20845" w14:paraId="3041E394" w14:textId="77777777">
      <w:pPr>
        <w:widowControl/>
        <w:rPr>
          <w:rFonts w:ascii="Arial" w:hAnsi="Arial" w:cs="Arial"/>
          <w:b/>
          <w:bCs/>
          <w:sz w:val="22"/>
          <w:szCs w:val="16"/>
        </w:rPr>
      </w:pPr>
      <w:r>
        <w:br w:type="page"/>
      </w:r>
    </w:p>
    <w:p w:rsidR="007C4A90" w:rsidRDefault="00B20845" w14:paraId="62695922" w14:textId="77777777">
      <w:pPr>
        <w:pStyle w:val="Zawartotabeli"/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t>Formy sprawdzania efektów uczenia się</w:t>
      </w:r>
    </w:p>
    <w:p w:rsidR="007C4A90" w:rsidRDefault="007C4A90" w14:paraId="722B00A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4"/>
        <w:gridCol w:w="663"/>
        <w:gridCol w:w="667"/>
        <w:gridCol w:w="668"/>
        <w:gridCol w:w="666"/>
        <w:gridCol w:w="663"/>
        <w:gridCol w:w="667"/>
        <w:gridCol w:w="668"/>
        <w:gridCol w:w="666"/>
        <w:gridCol w:w="563"/>
        <w:gridCol w:w="768"/>
        <w:gridCol w:w="668"/>
        <w:gridCol w:w="667"/>
        <w:gridCol w:w="663"/>
      </w:tblGrid>
      <w:tr w:rsidR="007C4A90" w14:paraId="4D1153E2" w14:textId="77777777">
        <w:trPr>
          <w:cantSplit/>
          <w:trHeight w:val="1616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7C4A90" w14:paraId="42C6D79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4A90" w14:paraId="2D72330C" w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E1831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4E11D2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1126E5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DE403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2431CD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D9616C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9E398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1933DB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F9B2D4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6287F2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BE93A6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84BA73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4B3F2E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5640919A" w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D34F5C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B9B05D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B4020A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D7B270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F904CB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7C9F95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06A5F3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AD57E7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5326C0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6971CD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838AA3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A1F70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3EFCA4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5097DE80" w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F96A72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B95CD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220BBB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3CB59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D9C8D3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75E05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FC17F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4294D7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A4F722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AE48A4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0F40DE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7A522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07DCDA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5DD60BD8" w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FF2826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50EA2D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3EABB0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DD355C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A81F0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17AAFB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B580D6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1468B8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7D20E0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393E36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6EE48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363A10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908EB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21FD38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384DAA4D" w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FE2DD9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735753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7F023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BDB549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916C1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23D7E4C9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12DD2B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2545036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486946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87F57B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4738A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6ABBD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6BBA33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34242DBF" w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64FCBC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C31881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C8C6B0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382A3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C71F1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393C270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A858FD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EB4220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23D057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21994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196BC0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DA123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C4CEA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668FAAE8" w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089567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8C1F85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C8FE7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1004F1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7C0C65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6F37B2E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0D9741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386958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D9CA38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08D56C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8F68C8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97E50C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B04FA4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4EEEB58B" w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68C69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A93948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AA258D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FFBD3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0DCCCA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978DB5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272837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6AF688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6192D06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4C529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C0157D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691E7B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26770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6128B705" w14:textId="77777777">
        <w:trPr>
          <w:cantSplit/>
          <w:trHeight w:val="244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4D844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CBEED8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E36661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8645DC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35E58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2EBF9A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AAFB449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309F07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C6C2C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6EFC4D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09E88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38701689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08C98E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79F8E7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5F9357B0" w14:textId="77777777">
        <w:trPr>
          <w:cantSplit/>
          <w:trHeight w:val="244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178E46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818863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4F69B9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F07D11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1508A3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3D6B1D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7DBC15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F8BD8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E50C67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613E9C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037B8A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87C6DE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B2F93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8E6DD4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3EB0795B" w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D3BEE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B8889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9E2BB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7C0D79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D142F6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8A1596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06D049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2E457A9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475AD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20C4E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2AFC42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71CA7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5FBE4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C4A90" w14:paraId="45D06ADF" w14:textId="77777777">
        <w:trPr>
          <w:cantSplit/>
          <w:trHeight w:val="315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37E4E0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D3F0B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5CF43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CB648E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C178E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C0395D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FAF1AF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5A59FC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254BC2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83DC38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51E959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69E314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734134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2EF208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C4A90" w:rsidRDefault="007C4A90" w14:paraId="7B40C95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7C4A90" w:rsidRDefault="007C4A90" w14:paraId="4B4D723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1939"/>
        <w:gridCol w:w="7701"/>
      </w:tblGrid>
      <w:tr w:rsidR="007C4A90" w14:paraId="59DFE27F" w14:textId="77777777">
        <w:trPr>
          <w:trHeight w:val="1089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121391AA" w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7C4A90" w:rsidRDefault="00B20845" w14:paraId="78936F36" w14:textId="5BDF8482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kończy się egzaminem</w:t>
            </w:r>
            <w:r w:rsidR="00614DEA">
              <w:rPr>
                <w:rFonts w:ascii="Arial" w:hAnsi="Arial" w:cs="Arial"/>
                <w:sz w:val="20"/>
                <w:szCs w:val="20"/>
              </w:rPr>
              <w:t xml:space="preserve"> pisemnym (o charakterze teoretycznym i praktycznym)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C4A90" w:rsidRDefault="00B20845" w14:paraId="47A486B3" w14:textId="0748121C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przystąpienia do egzaminu jest uzyskanie pozytywnej oceny z punktowanej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pracy ciągłej studenta, obejmującej obecność, aktywność na zajęciach i wykonywanie zadań domowych</w:t>
            </w:r>
            <w:r w:rsidR="003A21BB">
              <w:rPr>
                <w:rFonts w:ascii="Arial" w:hAnsi="Arial" w:cs="Arial"/>
                <w:sz w:val="20"/>
                <w:szCs w:val="20"/>
              </w:rPr>
              <w:t xml:space="preserve"> (lektura artykułów, przesyłanych fragmentów książek).</w:t>
            </w:r>
          </w:p>
          <w:p w:rsidR="007C4A90" w:rsidRDefault="00B20845" w14:paraId="7BE8887F" w14:textId="77777777">
            <w:pPr>
              <w:suppressLineNumbers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ocenę końcową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składa się ocena z egzaminu, a także ocena pracy ciągłej studenta. </w:t>
            </w:r>
          </w:p>
          <w:p w:rsidR="007C4A90" w:rsidRDefault="00B20845" w14:paraId="575D9882" w14:textId="77777777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Skala ocen: </w:t>
            </w:r>
          </w:p>
          <w:p w:rsidR="003A21BB" w:rsidP="003A21BB" w:rsidRDefault="003A21BB" w14:paraId="3CB08BF1" w14:textId="77777777">
            <w:pPr>
              <w:pStyle w:val="Zawartotabeli"/>
              <w:spacing w:before="57" w:after="57"/>
              <w:rPr>
                <w:rFonts w:ascii="Arial" w:hAnsi="Arial"/>
                <w:sz w:val="22"/>
                <w:szCs w:val="16"/>
              </w:rPr>
            </w:pPr>
            <w:r>
              <w:rPr>
                <w:rFonts w:ascii="Arial" w:hAnsi="Arial"/>
                <w:sz w:val="22"/>
                <w:szCs w:val="16"/>
              </w:rPr>
              <w:t></w:t>
            </w:r>
            <w:r>
              <w:rPr>
                <w:rFonts w:ascii="Arial" w:hAnsi="Arial"/>
                <w:sz w:val="22"/>
                <w:szCs w:val="16"/>
              </w:rPr>
              <w:tab/>
            </w:r>
            <w:r>
              <w:rPr>
                <w:rFonts w:ascii="Arial" w:hAnsi="Arial"/>
                <w:sz w:val="22"/>
                <w:szCs w:val="16"/>
              </w:rPr>
              <w:t>0-69,9% - 2</w:t>
            </w:r>
          </w:p>
          <w:p w:rsidR="003A21BB" w:rsidP="003A21BB" w:rsidRDefault="003A21BB" w14:paraId="5BF578C9" w14:textId="77777777">
            <w:pPr>
              <w:pStyle w:val="Zawartotabeli"/>
              <w:spacing w:before="57" w:after="57"/>
              <w:rPr>
                <w:rFonts w:ascii="Arial" w:hAnsi="Arial"/>
                <w:sz w:val="22"/>
                <w:szCs w:val="16"/>
              </w:rPr>
            </w:pPr>
            <w:r>
              <w:rPr>
                <w:rFonts w:ascii="Arial" w:hAnsi="Arial"/>
                <w:sz w:val="22"/>
                <w:szCs w:val="16"/>
              </w:rPr>
              <w:t></w:t>
            </w:r>
            <w:r>
              <w:rPr>
                <w:rFonts w:ascii="Arial" w:hAnsi="Arial"/>
                <w:sz w:val="22"/>
                <w:szCs w:val="16"/>
              </w:rPr>
              <w:tab/>
            </w:r>
            <w:r>
              <w:rPr>
                <w:rFonts w:ascii="Arial" w:hAnsi="Arial"/>
                <w:sz w:val="22"/>
                <w:szCs w:val="16"/>
              </w:rPr>
              <w:t>70-75% - 3</w:t>
            </w:r>
          </w:p>
          <w:p w:rsidR="003A21BB" w:rsidP="003A21BB" w:rsidRDefault="003A21BB" w14:paraId="7327A7DC" w14:textId="77777777">
            <w:pPr>
              <w:pStyle w:val="Zawartotabeli"/>
              <w:spacing w:before="57" w:after="57"/>
              <w:rPr>
                <w:rFonts w:ascii="Arial" w:hAnsi="Arial"/>
                <w:sz w:val="22"/>
                <w:szCs w:val="16"/>
              </w:rPr>
            </w:pPr>
            <w:r>
              <w:rPr>
                <w:rFonts w:ascii="Arial" w:hAnsi="Arial"/>
                <w:sz w:val="22"/>
                <w:szCs w:val="16"/>
              </w:rPr>
              <w:t></w:t>
            </w:r>
            <w:r>
              <w:rPr>
                <w:rFonts w:ascii="Arial" w:hAnsi="Arial"/>
                <w:sz w:val="22"/>
                <w:szCs w:val="16"/>
              </w:rPr>
              <w:tab/>
            </w:r>
            <w:r>
              <w:rPr>
                <w:rFonts w:ascii="Arial" w:hAnsi="Arial"/>
                <w:sz w:val="22"/>
                <w:szCs w:val="16"/>
              </w:rPr>
              <w:t>76-81% - 3,5</w:t>
            </w:r>
          </w:p>
          <w:p w:rsidR="003A21BB" w:rsidP="003A21BB" w:rsidRDefault="003A21BB" w14:paraId="535F91E4" w14:textId="77777777">
            <w:pPr>
              <w:pStyle w:val="Zawartotabeli"/>
              <w:spacing w:before="57" w:after="57"/>
              <w:rPr>
                <w:rFonts w:ascii="Arial" w:hAnsi="Arial"/>
                <w:sz w:val="22"/>
                <w:szCs w:val="16"/>
              </w:rPr>
            </w:pPr>
            <w:r>
              <w:rPr>
                <w:rFonts w:ascii="Arial" w:hAnsi="Arial"/>
                <w:sz w:val="22"/>
                <w:szCs w:val="16"/>
              </w:rPr>
              <w:t></w:t>
            </w:r>
            <w:r>
              <w:rPr>
                <w:rFonts w:ascii="Arial" w:hAnsi="Arial"/>
                <w:sz w:val="22"/>
                <w:szCs w:val="16"/>
              </w:rPr>
              <w:tab/>
            </w:r>
            <w:r>
              <w:rPr>
                <w:rFonts w:ascii="Arial" w:hAnsi="Arial"/>
                <w:sz w:val="22"/>
                <w:szCs w:val="16"/>
              </w:rPr>
              <w:t>82-87% - 4</w:t>
            </w:r>
          </w:p>
          <w:p w:rsidR="003A21BB" w:rsidP="003A21BB" w:rsidRDefault="003A21BB" w14:paraId="146CB21F" w14:textId="77777777">
            <w:pPr>
              <w:pStyle w:val="Zawartotabeli"/>
              <w:spacing w:before="57" w:after="57"/>
              <w:rPr>
                <w:rFonts w:ascii="Arial" w:hAnsi="Arial"/>
                <w:sz w:val="22"/>
                <w:szCs w:val="16"/>
              </w:rPr>
            </w:pPr>
            <w:r>
              <w:rPr>
                <w:rFonts w:ascii="Arial" w:hAnsi="Arial"/>
                <w:sz w:val="22"/>
                <w:szCs w:val="16"/>
              </w:rPr>
              <w:t></w:t>
            </w:r>
            <w:r>
              <w:rPr>
                <w:rFonts w:ascii="Arial" w:hAnsi="Arial"/>
                <w:sz w:val="22"/>
                <w:szCs w:val="16"/>
              </w:rPr>
              <w:tab/>
            </w:r>
            <w:r>
              <w:rPr>
                <w:rFonts w:ascii="Arial" w:hAnsi="Arial"/>
                <w:sz w:val="22"/>
                <w:szCs w:val="16"/>
              </w:rPr>
              <w:t>88-93% - 4,5</w:t>
            </w:r>
          </w:p>
          <w:p w:rsidRPr="003A21BB" w:rsidR="003A21BB" w:rsidP="003A21BB" w:rsidRDefault="003A21BB" w14:paraId="69B130F7" w14:textId="11A63547">
            <w:pPr>
              <w:pStyle w:val="Zawartotabeli"/>
              <w:spacing w:before="57" w:after="57"/>
              <w:rPr>
                <w:rFonts w:ascii="Arial" w:hAnsi="Arial"/>
                <w:sz w:val="22"/>
                <w:szCs w:val="16"/>
              </w:rPr>
            </w:pPr>
            <w:r>
              <w:rPr>
                <w:rFonts w:ascii="Arial" w:hAnsi="Arial"/>
                <w:sz w:val="22"/>
                <w:szCs w:val="16"/>
              </w:rPr>
              <w:t></w:t>
            </w:r>
            <w:r>
              <w:rPr>
                <w:rFonts w:ascii="Arial" w:hAnsi="Arial"/>
                <w:sz w:val="22"/>
                <w:szCs w:val="16"/>
              </w:rPr>
              <w:tab/>
            </w:r>
            <w:r>
              <w:rPr>
                <w:rFonts w:ascii="Arial" w:hAnsi="Arial"/>
                <w:sz w:val="22"/>
                <w:szCs w:val="16"/>
              </w:rPr>
              <w:t>94-100% - 5</w:t>
            </w:r>
          </w:p>
        </w:tc>
      </w:tr>
    </w:tbl>
    <w:p w:rsidR="007C4A90" w:rsidRDefault="007C4A90" w14:paraId="2093CA67" w14:textId="77777777">
      <w:pPr>
        <w:rPr>
          <w:rFonts w:ascii="Arial" w:hAnsi="Arial" w:cs="Arial"/>
          <w:sz w:val="22"/>
          <w:szCs w:val="16"/>
        </w:rPr>
      </w:pPr>
    </w:p>
    <w:p w:rsidR="007C4A90" w:rsidRDefault="007C4A90" w14:paraId="2503B197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7C4A90" w14:paraId="002EE185" w14:textId="77777777">
        <w:trPr>
          <w:trHeight w:val="807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718A5242" w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7C4A90" w:rsidRDefault="00B20845" w14:paraId="03ED40F8" w14:textId="6A83921E">
            <w:pPr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W zależności od sytuacji</w:t>
            </w:r>
            <w:r w:rsidR="00614DEA"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zajęcia prowadzone będą albo stacjonarnie (z wykorzystaniem platform</w:t>
            </w:r>
            <w:r w:rsidR="00614DEA">
              <w:rPr>
                <w:rFonts w:ascii="Arial" w:hAnsi="Arial" w:eastAsia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eastAsia="Arial" w:cs="Arial"/>
                <w:sz w:val="20"/>
                <w:szCs w:val="20"/>
              </w:rPr>
              <w:t>MS Teams jako narzędzia pomocniczego), albo zdalnie (w trybie synchronicznym, z wykorzystaniem platformy</w:t>
            </w:r>
            <w:r w:rsidR="00614DEA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MS Teams jako narzędzia pomocniczego).</w:t>
            </w:r>
          </w:p>
        </w:tc>
      </w:tr>
    </w:tbl>
    <w:p w:rsidR="007C4A90" w:rsidRDefault="007C4A90" w14:paraId="38288749" w14:textId="77777777">
      <w:pPr>
        <w:rPr>
          <w:rFonts w:ascii="Arial" w:hAnsi="Arial" w:cs="Arial"/>
          <w:b/>
          <w:bCs/>
          <w:sz w:val="22"/>
          <w:szCs w:val="16"/>
        </w:rPr>
      </w:pPr>
    </w:p>
    <w:p w:rsidR="007C4A90" w:rsidRDefault="00B20845" w14:paraId="159A33C0" w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w:rsidR="007C4A90" w:rsidRDefault="007C4A90" w14:paraId="20BD9A1A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4A90" w:rsidTr="23BB2634" w14:paraId="196EAADE" w14:textId="77777777">
        <w:trPr>
          <w:trHeight w:val="30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BB01C88" w:rsidP="5CBD8C31" w:rsidRDefault="0BB01C88" w14:paraId="743F2B4C" w14:textId="22BA0615">
            <w:pPr>
              <w:pStyle w:val="Normalny"/>
              <w:widowControl w:val="0"/>
              <w:ind w:left="708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1. Ocenianie i ewaluacja</w:t>
            </w:r>
          </w:p>
          <w:p w:rsidR="0BB01C88" w:rsidP="5CBD8C31" w:rsidRDefault="0BB01C88" w14:paraId="43E5292E" w14:textId="52CB5369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Tworzenie testów i sprawdzianów</w:t>
            </w:r>
          </w:p>
          <w:p w:rsidR="0BB01C88" w:rsidP="5CBD8C31" w:rsidRDefault="0BB01C88" w14:paraId="4E2C069E" w14:textId="140CBAA4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Ocenianie i kryteria oceniania</w:t>
            </w:r>
          </w:p>
          <w:p w:rsidR="0BB01C88" w:rsidP="5CBD8C31" w:rsidRDefault="0BB01C88" w14:paraId="7576EF31" w14:textId="0EEA4169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23BB2634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Różnorodne formy oceniania</w:t>
            </w:r>
          </w:p>
          <w:p w:rsidR="0BB01C88" w:rsidP="5CBD8C31" w:rsidRDefault="0BB01C88" w14:paraId="78D253DA" w14:textId="75B7F8BB">
            <w:pPr>
              <w:pStyle w:val="Heading3"/>
              <w:keepNext w:val="1"/>
              <w:keepLines w:val="1"/>
              <w:spacing w:before="281" w:beforeAutospacing="off" w:after="281" w:afterAutospacing="off"/>
              <w:ind w:left="72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2. Metody i techniki pracy dydaktycznej</w:t>
            </w:r>
          </w:p>
          <w:p w:rsidR="0BB01C88" w:rsidP="5CBD8C31" w:rsidRDefault="0BB01C88" w14:paraId="1CCFC95F" w14:textId="6168C84A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Metody aktywizujące i aktywizowanie uczniów</w:t>
            </w:r>
          </w:p>
          <w:p w:rsidR="0BB01C88" w:rsidP="5CBD8C31" w:rsidRDefault="0BB01C88" w14:paraId="1059DFCD" w14:textId="0ACE3005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Praca metodą projektu</w:t>
            </w:r>
          </w:p>
          <w:p w:rsidR="0BB01C88" w:rsidP="5CBD8C31" w:rsidRDefault="0BB01C88" w14:paraId="1CD6B788" w14:textId="56995B64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Dostosowywanie materiałów i metod do poziomu znajomości języka uczniów oraz ich predyspozycji</w:t>
            </w:r>
          </w:p>
          <w:p w:rsidR="0BB01C88" w:rsidP="5CBD8C31" w:rsidRDefault="0BB01C88" w14:paraId="16AF72B3" w14:textId="687A29FE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Dostosowywanie metod pracy do uczniów o specjalnych potrzebach edukacyjnych</w:t>
            </w:r>
          </w:p>
          <w:p w:rsidR="0BB01C88" w:rsidP="5CBD8C31" w:rsidRDefault="0BB01C88" w14:paraId="7984DEDD" w14:textId="0CDC69EB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Analiza orzeczeń i opinii PPP</w:t>
            </w:r>
          </w:p>
          <w:p w:rsidR="5CBD8C31" w:rsidP="5CBD8C31" w:rsidRDefault="5CBD8C31" w14:paraId="29127B48" w14:textId="01DD6F7A">
            <w:pPr>
              <w:pStyle w:val="Akapitzlist"/>
              <w:spacing w:before="240" w:beforeAutospacing="off" w:after="240" w:afterAutospacing="off"/>
              <w:ind w:left="72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</w:p>
          <w:p w:rsidR="0BB01C88" w:rsidP="5CBD8C31" w:rsidRDefault="0BB01C88" w14:paraId="12B74FFD" w14:textId="63BD7B5E">
            <w:pPr>
              <w:pStyle w:val="Heading3"/>
              <w:keepNext w:val="1"/>
              <w:keepLines w:val="1"/>
              <w:spacing w:before="281" w:beforeAutospacing="off" w:after="281" w:afterAutospacing="off"/>
              <w:ind w:left="72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3. Uczeń i proces grupowy</w:t>
            </w:r>
          </w:p>
          <w:p w:rsidR="0BB01C88" w:rsidP="5CBD8C31" w:rsidRDefault="0BB01C88" w14:paraId="04DDAD19" w14:textId="16637BD8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Rola motywacji w procesie nauczania i uczenia się</w:t>
            </w:r>
          </w:p>
          <w:p w:rsidR="0BB01C88" w:rsidP="5CBD8C31" w:rsidRDefault="0BB01C88" w14:paraId="03FED645" w14:textId="4F2DAE7E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Rola samodzielności ucznia w procesie uczenia się</w:t>
            </w:r>
          </w:p>
          <w:p w:rsidR="0BB01C88" w:rsidP="5CBD8C31" w:rsidRDefault="0BB01C88" w14:paraId="2DF0D627" w14:textId="26A5FD20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Zabawy integrujące grupę i procesy grupowe</w:t>
            </w:r>
          </w:p>
          <w:p w:rsidR="0BB01C88" w:rsidP="5CBD8C31" w:rsidRDefault="0BB01C88" w14:paraId="3944B81C" w14:textId="01F18D9E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Praca z uczniami o specjalnych potrzebach edukacyjnych</w:t>
            </w:r>
          </w:p>
          <w:p w:rsidR="0BB01C88" w:rsidP="5CBD8C31" w:rsidRDefault="0BB01C88" w14:paraId="33D8024E" w14:textId="69752BD2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Wspieranie rozwoju ucznia poprzez indywidualizację nauczania</w:t>
            </w:r>
          </w:p>
          <w:p w:rsidR="0BB01C88" w:rsidP="5CBD8C31" w:rsidRDefault="0BB01C88" w14:paraId="4986FDE6" w14:textId="225DBF0A">
            <w:pPr>
              <w:pStyle w:val="Heading3"/>
              <w:keepNext w:val="1"/>
              <w:keepLines w:val="1"/>
              <w:spacing w:before="281" w:beforeAutospacing="off" w:after="281" w:afterAutospacing="off"/>
              <w:ind w:left="72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4. Wykorzystanie nowoczesnych technologii</w:t>
            </w:r>
          </w:p>
          <w:p w:rsidR="0BB01C88" w:rsidP="5CBD8C31" w:rsidRDefault="0BB01C88" w14:paraId="7BF562C3" w14:textId="417E6A66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Technologie informatyczno-komunikacyjne (TIK) w nauczaniu języka hiszpańskiego</w:t>
            </w:r>
          </w:p>
          <w:p w:rsidR="0BB01C88" w:rsidP="5CBD8C31" w:rsidRDefault="0BB01C88" w14:paraId="53C14CC9" w14:textId="0FAFB731">
            <w:pPr>
              <w:pStyle w:val="Akapitzlist"/>
              <w:numPr>
                <w:ilvl w:val="0"/>
                <w:numId w:val="1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</w:pPr>
            <w:r w:rsidRPr="5CBD8C31" w:rsidR="0BB01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pl-PL"/>
              </w:rPr>
              <w:t>Praca z materiałami autentycznymi i multimediami</w:t>
            </w:r>
          </w:p>
          <w:p w:rsidR="5CBD8C31" w:rsidP="5CBD8C31" w:rsidRDefault="5CBD8C31" w14:paraId="6637F7F5" w14:textId="4ABDE36F">
            <w:pPr>
              <w:pStyle w:val="Akapitzlist"/>
              <w:widowControl w:val="0"/>
              <w:ind w:left="7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Pr="003A21BB" w:rsidR="007243C0" w:rsidP="5CBD8C31" w:rsidRDefault="003A21BB" w14:paraId="42620C89" w14:textId="2BF070A5">
            <w:pPr>
              <w:pStyle w:val="Normalny"/>
              <w:widowControl w:val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</w:tr>
    </w:tbl>
    <w:p w:rsidR="007C4A90" w:rsidRDefault="007C4A90" w14:paraId="0C136CF1" w14:textId="77777777">
      <w:pPr>
        <w:rPr>
          <w:rFonts w:ascii="Arial" w:hAnsi="Arial" w:cs="Arial"/>
          <w:sz w:val="22"/>
          <w:szCs w:val="22"/>
        </w:rPr>
      </w:pPr>
    </w:p>
    <w:p w:rsidR="007243C0" w:rsidRDefault="007243C0" w14:paraId="0A392C6A" w14:textId="77777777">
      <w:pPr>
        <w:rPr>
          <w:rFonts w:ascii="Arial" w:hAnsi="Arial" w:cs="Arial"/>
          <w:b/>
          <w:bCs/>
          <w:sz w:val="22"/>
          <w:szCs w:val="22"/>
        </w:rPr>
      </w:pPr>
    </w:p>
    <w:p w:rsidR="007243C0" w:rsidRDefault="007243C0" w14:paraId="290583F9" w14:textId="77777777">
      <w:pPr>
        <w:rPr>
          <w:rFonts w:ascii="Arial" w:hAnsi="Arial" w:cs="Arial"/>
          <w:b/>
          <w:bCs/>
          <w:sz w:val="22"/>
          <w:szCs w:val="22"/>
        </w:rPr>
      </w:pPr>
    </w:p>
    <w:p w:rsidR="007243C0" w:rsidRDefault="007243C0" w14:paraId="68F21D90" w14:textId="77777777">
      <w:pPr>
        <w:rPr>
          <w:rFonts w:ascii="Arial" w:hAnsi="Arial" w:cs="Arial"/>
          <w:b/>
          <w:bCs/>
          <w:sz w:val="22"/>
          <w:szCs w:val="22"/>
        </w:rPr>
      </w:pPr>
    </w:p>
    <w:p w:rsidR="007243C0" w:rsidRDefault="007243C0" w14:paraId="13C326F3" w14:textId="77777777">
      <w:pPr>
        <w:rPr>
          <w:rFonts w:ascii="Arial" w:hAnsi="Arial" w:cs="Arial"/>
          <w:b/>
          <w:bCs/>
          <w:sz w:val="22"/>
          <w:szCs w:val="22"/>
        </w:rPr>
      </w:pPr>
    </w:p>
    <w:p w:rsidR="007243C0" w:rsidRDefault="007243C0" w14:paraId="4853B841" w14:textId="77777777">
      <w:pPr>
        <w:rPr>
          <w:rFonts w:ascii="Arial" w:hAnsi="Arial" w:cs="Arial"/>
          <w:b/>
          <w:bCs/>
          <w:sz w:val="22"/>
          <w:szCs w:val="22"/>
        </w:rPr>
      </w:pPr>
    </w:p>
    <w:p w:rsidR="007C4A90" w:rsidRDefault="00B20845" w14:paraId="349747DD" w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literatury podstawowej</w:t>
      </w:r>
    </w:p>
    <w:p w:rsidR="007C4A90" w:rsidRDefault="007C4A90" w14:paraId="50125231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941486" w:rsidR="007C4A90" w14:paraId="779C89F1" w14:textId="77777777">
        <w:trPr>
          <w:trHeight w:val="1098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C74289" w:rsidR="00C74289" w:rsidRDefault="00C74289" w14:paraId="07D84C46" w14:textId="457F67C5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2"/>
                <w:szCs w:val="12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Aquilino, S.P. (1997).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Los métodos en la enseñanza de idiomas. Evolución histórica y análisis didáctico. 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Madrid: Sociedad General Española de Librería, S.A.</w:t>
            </w:r>
          </w:p>
          <w:p w:rsidRPr="00C74289" w:rsidR="00C74289" w:rsidRDefault="00C74289" w14:paraId="68D315D7" w14:textId="4D948EA9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Centro Virtual Cervantes.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Plan curricular del Instituto Cervantes.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 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Consultado en el sitio: </w:t>
            </w:r>
            <w:hyperlink w:history="1" r:id="rId11">
              <w:r w:rsidRPr="00C74289">
                <w:rPr>
                  <w:rStyle w:val="Hipercze"/>
                  <w:rFonts w:ascii="Arial" w:hAnsi="Arial" w:cs="Arial"/>
                  <w:color w:val="1279BE"/>
                  <w:sz w:val="20"/>
                  <w:szCs w:val="20"/>
                  <w:bdr w:val="none" w:color="auto" w:sz="0" w:space="0" w:frame="1"/>
                  <w:shd w:val="clear" w:color="auto" w:fill="FFFFFF"/>
                </w:rPr>
                <w:t>http://cvc.cervantes.es</w:t>
              </w:r>
            </w:hyperlink>
          </w:p>
          <w:p w:rsidRPr="00C74289" w:rsidR="00C74289" w:rsidRDefault="00C74289" w14:paraId="5731D84A" w14:textId="7A7984B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2"/>
                <w:szCs w:val="12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Consejo de Europa (2001).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Marco Común Europeo de Referencia para las Lenguas: aprendizaje, enseñanza, evaluación.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 (</w:t>
            </w:r>
            <w:hyperlink w:history="1" r:id="rId12">
              <w:r w:rsidRPr="00C74289">
                <w:rPr>
                  <w:rStyle w:val="Hipercze"/>
                  <w:rFonts w:ascii="Arial" w:hAnsi="Arial" w:cs="Arial"/>
                  <w:color w:val="1279BE"/>
                  <w:sz w:val="20"/>
                  <w:szCs w:val="20"/>
                  <w:bdr w:val="none" w:color="auto" w:sz="0" w:space="0" w:frame="1"/>
                  <w:shd w:val="clear" w:color="auto" w:fill="FFFFFF"/>
                  <w:lang w:val="es-ES"/>
                </w:rPr>
                <w:t>http://cvc.cervantes.es/obref/marco</w:t>
              </w:r>
            </w:hyperlink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). Madrid: Instituto Cervantes-Ministerio de Educación Cultura y Deporte, Anaya, 2002.</w:t>
            </w:r>
          </w:p>
          <w:p w:rsidR="007C4A90" w:rsidRDefault="00B20845" w14:paraId="6ECED4EB" w14:textId="32A7C23B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Komorowska, H. (2005).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Metodyka nauczania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Fraszka Edukacyjna.</w:t>
            </w:r>
          </w:p>
          <w:p w:rsidR="007C4A90" w:rsidRDefault="00C74289" w14:paraId="262E30ED" w14:textId="0EDA81CE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289">
              <w:rPr>
                <w:rFonts w:ascii="Arial" w:hAnsi="Arial" w:cs="Arial"/>
                <w:sz w:val="20"/>
                <w:szCs w:val="20"/>
                <w:lang w:val="es-ES"/>
              </w:rPr>
              <w:t xml:space="preserve">Richards, J. y Rodgers, T. (1988). </w:t>
            </w:r>
            <w:r w:rsidRPr="00C7428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Enfoques y métodos en la enseñanza de idiomas</w:t>
            </w:r>
            <w:r w:rsidRPr="00C74289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C74289">
              <w:rPr>
                <w:rFonts w:ascii="Arial" w:hAnsi="Arial" w:cs="Arial"/>
                <w:sz w:val="20"/>
                <w:szCs w:val="20"/>
              </w:rPr>
              <w:t>Cambridge University Press.</w:t>
            </w:r>
          </w:p>
          <w:p w:rsidRPr="00C74289" w:rsidR="00C74289" w:rsidP="00C74289" w:rsidRDefault="00C74289" w14:paraId="1EE02E0A" w14:textId="27696432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Sánchez, A. (1997).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Los métodos en la enseñanza de idiomas. 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Madrid: Sociedad General Española de Librería, S.A.</w:t>
            </w:r>
          </w:p>
        </w:tc>
      </w:tr>
    </w:tbl>
    <w:p w:rsidRPr="00C74289" w:rsidR="007C4A90" w:rsidRDefault="007C4A90" w14:paraId="5A25747A" w14:textId="77777777">
      <w:pPr>
        <w:rPr>
          <w:rFonts w:ascii="Arial" w:hAnsi="Arial" w:cs="Arial"/>
          <w:sz w:val="20"/>
          <w:szCs w:val="20"/>
          <w:lang w:val="es-ES"/>
        </w:rPr>
      </w:pPr>
    </w:p>
    <w:p w:rsidR="007C4A90" w:rsidRDefault="00B20845" w14:paraId="59EC7B3D" w14:textId="77777777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Wykaz literatury uzupełniającej</w:t>
      </w:r>
    </w:p>
    <w:p w:rsidR="007C4A90" w:rsidRDefault="007C4A90" w14:paraId="09B8D95D" w14:textId="77777777">
      <w:pPr>
        <w:rPr>
          <w:rFonts w:ascii="Arial" w:hAnsi="Arial" w:cs="Arial"/>
          <w:sz w:val="20"/>
          <w:szCs w:val="20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4A90" w14:paraId="2CB18EF2" w14:textId="77777777">
        <w:trPr>
          <w:trHeight w:val="1112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C74289" w:rsidR="00C74289" w:rsidRDefault="00C74289" w14:paraId="128D099A" w14:textId="3D2139C5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Arnau, J. (2001).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La enseñanza de la lengua extranjera a través de contenidos: principios e implicaciones prácticas, en Actas del Congreso Internacional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 xml:space="preserve">. 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Oviedo. Anaya. MEC.</w:t>
            </w:r>
          </w:p>
          <w:p w:rsidRPr="00C74289" w:rsidR="00C74289" w:rsidRDefault="00C74289" w14:paraId="383CB99C" w14:textId="56DDB59C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C7428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es-ES"/>
              </w:rPr>
              <w:t>Concha, M.G. (2011). </w:t>
            </w:r>
            <w:r w:rsidRPr="00C74289">
              <w:rPr>
                <w:rStyle w:val="Uwydatnienie"/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Materiales, estrategias y recursos para la enseñanza del español como 2/L. </w:t>
            </w:r>
            <w:r w:rsidRPr="00C7428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es-ES"/>
              </w:rPr>
              <w:t>Madrid: Arco /Libros, S.L.</w:t>
            </w:r>
          </w:p>
          <w:p w:rsidRPr="00C74289" w:rsidR="00C74289" w:rsidRDefault="00C74289" w14:paraId="577BD08D" w14:textId="39FB0114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Llobera, M.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et al.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 (1995).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Competencia comunicativa. Documentos básicos en la enseñanza de lenguas extranjeras.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 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Madrid: Edelsa.</w:t>
            </w:r>
          </w:p>
          <w:p w:rsidRPr="00C74289" w:rsidR="00C74289" w:rsidRDefault="00C74289" w14:paraId="6D652192" w14:textId="18A8DDB1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Met, M. (1999).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Impulsando el desarrollo de la segunda lengua mediante la enseñanza de contenidos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 xml:space="preserve">. 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Infancia y aprendizaje,86, 13-26.</w:t>
            </w:r>
          </w:p>
          <w:p w:rsidRPr="00C74289" w:rsidR="00C74289" w:rsidRDefault="00C74289" w14:paraId="4B194EDB" w14:textId="5CB13E0D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Vázquez, M. (1996). 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Aplicaciones prácticas del enfoque por tareas.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 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Didáctica del español.</w:t>
            </w:r>
          </w:p>
          <w:p w:rsidRPr="00C74289" w:rsidR="007C4A90" w:rsidP="00C74289" w:rsidRDefault="00C74289" w14:paraId="56DC7663" w14:textId="0249776B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>Zanón, J. (1990)</w:t>
            </w:r>
            <w:r w:rsidRPr="00C74289">
              <w:rPr>
                <w:rStyle w:val="Uwydatnienie"/>
                <w:rFonts w:ascii="Arial" w:hAnsi="Arial" w:cs="Arial"/>
                <w:color w:val="303030"/>
                <w:sz w:val="20"/>
                <w:szCs w:val="20"/>
                <w:bdr w:val="none" w:color="auto" w:sz="0" w:space="0" w:frame="1"/>
                <w:shd w:val="clear" w:color="auto" w:fill="FFFFFF"/>
                <w:lang w:val="es-ES"/>
              </w:rPr>
              <w:t> Los enfoques por tareas para la enseñanza de las lenguas extranjeras 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es-ES"/>
              </w:rPr>
              <w:t xml:space="preserve">CABLE. </w:t>
            </w:r>
            <w:r w:rsidRPr="00C74289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Revista de didáctica del español como lengua extranjera.</w:t>
            </w:r>
          </w:p>
        </w:tc>
      </w:tr>
    </w:tbl>
    <w:p w:rsidR="007243C0" w:rsidRDefault="007243C0" w14:paraId="3B22BB7D" w14:textId="77777777">
      <w:pPr>
        <w:rPr>
          <w:rFonts w:ascii="Arial" w:hAnsi="Arial" w:cs="Arial"/>
          <w:sz w:val="22"/>
          <w:szCs w:val="22"/>
        </w:rPr>
      </w:pPr>
    </w:p>
    <w:p w:rsidR="007C4A90" w:rsidRDefault="007C4A90" w14:paraId="5C3E0E74" w14:textId="77777777">
      <w:pPr>
        <w:pStyle w:val="Tekstdymka1"/>
        <w:rPr>
          <w:rFonts w:ascii="Arial" w:hAnsi="Arial" w:cs="Arial"/>
        </w:rPr>
      </w:pPr>
    </w:p>
    <w:p w:rsidR="007C4A90" w:rsidRDefault="00B20845" w14:paraId="0CCFC7CA" w14:textId="77777777">
      <w:pPr>
        <w:pStyle w:val="Tekstdymka1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Bilans godzinowy zgodny z CNPS (Całkowity Nakład Pracy Studenta)</w:t>
      </w:r>
    </w:p>
    <w:p w:rsidR="007C4A90" w:rsidRDefault="007C4A90" w14:paraId="66A1FAB9" w14:textId="77777777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7"/>
        <w:gridCol w:w="1069"/>
      </w:tblGrid>
      <w:tr w:rsidR="007C4A90" w:rsidTr="2605C40F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0A59AAF4" w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CF52D33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7C4A90" w14:paraId="76BB753C" w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7C4A90" w:rsidTr="2605C40F" w14:paraId="52E8593E" w14:textId="77777777">
        <w:trPr>
          <w:cantSplit/>
          <w:trHeight w:val="332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513DA1E0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6D29A719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7F292E" w14:paraId="3F48C20F" w14:textId="16A0DCA4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45</w:t>
            </w:r>
          </w:p>
        </w:tc>
      </w:tr>
      <w:tr w:rsidR="007C4A90" w:rsidTr="2605C40F" w14:paraId="64711803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75CAC6F5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D369756" w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7C4A90" w:rsidTr="2605C40F" w14:paraId="734CFAB0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0CFD0B79" w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40086990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3D5C510C" w14:textId="2A8BF561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7F29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7C4A90" w:rsidTr="2605C40F" w14:paraId="21DF01D2" w14:textId="77777777">
        <w:trPr>
          <w:cantSplit/>
          <w:trHeight w:val="710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66060428" w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61B59D1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7F292E" w14:paraId="5007C906" w14:textId="3946EC04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2605C40F" w:rsidR="775F447E"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7C4A90" w:rsidTr="2605C40F" w14:paraId="55DF11DC" w14:textId="77777777">
        <w:trPr>
          <w:cantSplit/>
          <w:trHeight w:val="731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1D0656FE" w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0E24D7D7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7F292E" w14:paraId="72A4FFC0" w14:textId="37D2AD7F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="007C4A90" w:rsidTr="2605C40F" w14:paraId="280430F2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7B37605A" w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774D66D9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219897CE" w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7C4A90" w:rsidTr="2605C40F" w14:paraId="201A10DA" w14:textId="77777777">
        <w:trPr>
          <w:trHeight w:val="365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1637B343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40805059" w14:textId="02118D19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2605C40F" w:rsidR="00B20845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2605C40F" w:rsidR="0AE6E868">
              <w:rPr>
                <w:rFonts w:ascii="Arial" w:hAnsi="Arial" w:eastAsia="Calibri" w:cs="Arial"/>
                <w:sz w:val="20"/>
                <w:szCs w:val="20"/>
                <w:lang w:eastAsia="en-US"/>
              </w:rPr>
              <w:t>50</w:t>
            </w:r>
          </w:p>
        </w:tc>
      </w:tr>
      <w:tr w:rsidR="007C4A90" w:rsidTr="2605C40F" w14:paraId="37131844" w14:textId="77777777">
        <w:trPr>
          <w:trHeight w:val="392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1114240D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109B8484" w14:textId="472121F1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2605C40F" w:rsidR="4529A06C"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7C4A90" w:rsidRDefault="007C4A90" w14:paraId="394798F2" w14:textId="77777777">
      <w:pPr>
        <w:pStyle w:val="Tekstdymka1"/>
        <w:rPr>
          <w:rFonts w:ascii="Arial" w:hAnsi="Arial" w:cs="Arial"/>
          <w:sz w:val="22"/>
        </w:rPr>
      </w:pPr>
    </w:p>
    <w:sectPr w:rsidR="007C4A90">
      <w:headerReference w:type="default" r:id="rId13"/>
      <w:footerReference w:type="default" r:id="rId14"/>
      <w:pgSz w:w="11906" w:h="16838" w:orient="portrait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5907" w:rsidRDefault="00EB5907" w14:paraId="0ADDC6EC" w14:textId="77777777">
      <w:r>
        <w:separator/>
      </w:r>
    </w:p>
  </w:endnote>
  <w:endnote w:type="continuationSeparator" w:id="0">
    <w:p w:rsidR="00EB5907" w:rsidRDefault="00EB5907" w14:paraId="1D9E726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A90" w:rsidRDefault="00B20845" w14:paraId="6CA06AA6" w14:textId="77777777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243C0">
      <w:rPr>
        <w:noProof/>
      </w:rPr>
      <w:t>4</w:t>
    </w:r>
    <w:r>
      <w:fldChar w:fldCharType="end"/>
    </w:r>
  </w:p>
  <w:p w:rsidR="007C4A90" w:rsidRDefault="007C4A90" w14:paraId="3889A50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5907" w:rsidRDefault="00EB5907" w14:paraId="3144B945" w14:textId="77777777">
      <w:r>
        <w:separator/>
      </w:r>
    </w:p>
  </w:footnote>
  <w:footnote w:type="continuationSeparator" w:id="0">
    <w:p w:rsidR="00EB5907" w:rsidRDefault="00EB5907" w14:paraId="5709BE2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A90" w:rsidRDefault="007C4A90" w14:paraId="53BD644D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1">
    <w:nsid w:val="4511c2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7fe72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f18c7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846f8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42d0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a3f99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31ebf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d2995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2D13C2"/>
    <w:multiLevelType w:val="multilevel"/>
    <w:tmpl w:val="4DA89E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16E63BD6"/>
    <w:multiLevelType w:val="multilevel"/>
    <w:tmpl w:val="6A1AC4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42632C"/>
    <w:multiLevelType w:val="multilevel"/>
    <w:tmpl w:val="9B1E7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352749E4"/>
    <w:multiLevelType w:val="multilevel"/>
    <w:tmpl w:val="D6503B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310141695">
    <w:abstractNumId w:val="0"/>
  </w:num>
  <w:num w:numId="2" w16cid:durableId="582497035">
    <w:abstractNumId w:val="3"/>
  </w:num>
  <w:num w:numId="3" w16cid:durableId="1068922561">
    <w:abstractNumId w:val="2"/>
  </w:num>
  <w:num w:numId="4" w16cid:durableId="140542055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A90"/>
    <w:rsid w:val="000F78C2"/>
    <w:rsid w:val="00237043"/>
    <w:rsid w:val="002E4B6A"/>
    <w:rsid w:val="003A21BB"/>
    <w:rsid w:val="00457FC2"/>
    <w:rsid w:val="00614DEA"/>
    <w:rsid w:val="006C1279"/>
    <w:rsid w:val="00723CF2"/>
    <w:rsid w:val="007243C0"/>
    <w:rsid w:val="007C4A90"/>
    <w:rsid w:val="007E521C"/>
    <w:rsid w:val="007F292E"/>
    <w:rsid w:val="008620DA"/>
    <w:rsid w:val="00941486"/>
    <w:rsid w:val="009C722D"/>
    <w:rsid w:val="009D093C"/>
    <w:rsid w:val="00B20845"/>
    <w:rsid w:val="00C74289"/>
    <w:rsid w:val="00DA4073"/>
    <w:rsid w:val="00EB5907"/>
    <w:rsid w:val="04E0A10A"/>
    <w:rsid w:val="0AE6E868"/>
    <w:rsid w:val="0BB01C88"/>
    <w:rsid w:val="0E35F639"/>
    <w:rsid w:val="0FA5F0A8"/>
    <w:rsid w:val="23BB2634"/>
    <w:rsid w:val="23F2A325"/>
    <w:rsid w:val="2605C40F"/>
    <w:rsid w:val="3BED61C6"/>
    <w:rsid w:val="3E1D5A4F"/>
    <w:rsid w:val="434DBC34"/>
    <w:rsid w:val="4529A06C"/>
    <w:rsid w:val="5287186F"/>
    <w:rsid w:val="5581AC09"/>
    <w:rsid w:val="5CBD8C31"/>
    <w:rsid w:val="62855401"/>
    <w:rsid w:val="6EC91625"/>
    <w:rsid w:val="72B9D534"/>
    <w:rsid w:val="775F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5786"/>
  <w15:docId w15:val="{686B79E8-69AD-4FAE-BE0C-EF1AB512BF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semiHidden/>
    <w:qFormat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semiHidden/>
    <w:qFormat/>
    <w:rsid w:val="009026FF"/>
  </w:style>
  <w:style w:type="character" w:styleId="TematkomentarzaZnak" w:customStyle="1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styleId="biblio-authors" w:customStyle="1">
    <w:name w:val="biblio-authors"/>
    <w:qFormat/>
    <w:rsid w:val="0081557C"/>
  </w:style>
  <w:style w:type="character" w:styleId="biblio-title" w:customStyle="1">
    <w:name w:val="biblio-title"/>
    <w:qFormat/>
    <w:rsid w:val="0081557C"/>
  </w:style>
  <w:style w:type="character" w:styleId="biblio-volume" w:customStyle="1">
    <w:name w:val="biblio-volume"/>
    <w:qFormat/>
    <w:rsid w:val="0081557C"/>
  </w:style>
  <w:style w:type="character" w:styleId="czeinternetowe" w:customStyle="1">
    <w:name w:val="Łącze internetowe"/>
    <w:basedOn w:val="Domylnaczcionkaakapitu"/>
    <w:uiPriority w:val="99"/>
    <w:unhideWhenUsed/>
    <w:rsid w:val="00502A11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qFormat/>
    <w:rsid w:val="00502A11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ny"/>
    <w:qFormat/>
    <w:pPr>
      <w:suppressLineNumbers/>
    </w:pPr>
  </w:style>
  <w:style w:type="paragraph" w:styleId="Gwkaistopka" w:customStyle="1">
    <w:name w:val="Główka i stopka"/>
    <w:basedOn w:val="Normalny"/>
    <w:qFormat/>
  </w:style>
  <w:style w:type="paragraph" w:styleId="Podpis1" w:customStyle="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qFormat/>
    <w:rPr>
      <w:b/>
      <w:bCs/>
    </w:rPr>
  </w:style>
  <w:style w:type="paragraph" w:styleId="Tekstdymka1" w:customStyle="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NormalnyWeb">
    <w:name w:val="Normal (Web)"/>
    <w:basedOn w:val="Normalny"/>
    <w:unhideWhenUsed/>
    <w:qFormat/>
    <w:rsid w:val="0081557C"/>
    <w:pPr>
      <w:widowControl/>
      <w:suppressAutoHyphens w:val="0"/>
      <w:spacing w:before="280" w:after="119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E33F3"/>
    <w:pPr>
      <w:widowControl/>
      <w:suppressAutoHyphens w:val="0"/>
      <w:ind w:left="720"/>
      <w:contextualSpacing/>
    </w:pPr>
    <w:rPr>
      <w:color w:val="000000"/>
      <w:lang w:eastAsia="es-ES_tradnl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Uwydatnienie">
    <w:name w:val="Emphasis"/>
    <w:basedOn w:val="Domylnaczcionkaakapitu"/>
    <w:uiPriority w:val="20"/>
    <w:qFormat/>
    <w:rsid w:val="00C74289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C74289"/>
    <w:rPr>
      <w:color w:val="0000FF"/>
      <w:u w:val="single"/>
    </w:rPr>
  </w:style>
  <w:style w:type="paragraph" w:styleId="LO-normal" w:customStyle="1">
    <w:name w:val="LO-normal"/>
    <w:qFormat/>
    <w:rsid w:val="006C1279"/>
    <w:pPr>
      <w:widowControl w:val="0"/>
    </w:pPr>
    <w:rPr>
      <w:rFonts w:eastAsia="NSimSun" w:cs="Lucida Sans"/>
      <w:sz w:val="24"/>
      <w:szCs w:val="24"/>
      <w:lang w:eastAsia="zh-CN" w:bidi="hi-IN"/>
    </w:rPr>
  </w:style>
  <w:style w:type="table" w:styleId="NormalTable0" w:customStyle="1">
    <w:name w:val="Normal Table0"/>
    <w:rsid w:val="006C1279"/>
    <w:rPr>
      <w:rFonts w:asciiTheme="minorHAnsi" w:hAnsiTheme="minorHAnsi" w:eastAsiaTheme="minorHAnsi" w:cstheme="minorBidi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3">
    <w:uiPriority w:val="9"/>
    <w:name w:val="heading 3"/>
    <w:basedOn w:val="Normalny"/>
    <w:next w:val="Normalny"/>
    <w:unhideWhenUsed/>
    <w:qFormat/>
    <w:rsid w:val="5CBD8C31"/>
    <w:rPr>
      <w:rFonts w:eastAsia="游ゴシック Light" w:cs="Times New Roman" w:eastAsiaTheme="majorEastAsia" w:cstheme="majorBidi"/>
      <w:color w:val="2F5496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cvc.cervantes.es/obref/marco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cvc.cervantes.es/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A2363D-9FEE-44E6-B652-2ED9EC894462}"/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640EA1E-A762-4718-83B0-7E4F972B06C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dc:description/>
  <lastModifiedBy>Renata Czop</lastModifiedBy>
  <revision>7</revision>
  <lastPrinted>2012-01-27T16:28:00.0000000Z</lastPrinted>
  <dcterms:created xsi:type="dcterms:W3CDTF">2022-09-29T09:21:00.0000000Z</dcterms:created>
  <dcterms:modified xsi:type="dcterms:W3CDTF">2025-10-27T20:24:26.6295868Z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ContentTypeId">
    <vt:lpwstr>0x0101002209B232CADBB741AD8A847C28231427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Opis">
    <vt:lpwstr>zal_nr_4_karta_kursu_2019</vt:lpwstr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mbof">
    <vt:lpwstr/>
  </property>
  <property fmtid="{D5CDD505-2E9C-101B-9397-08002B2CF9AE}" pid="12" name="MediaServiceImageTags">
    <vt:lpwstr/>
  </property>
</Properties>
</file>